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4558"/>
        <w:gridCol w:w="4962"/>
      </w:tblGrid>
      <w:tr w:rsidR="00952AFD" w:rsidRPr="00952AFD" w:rsidTr="00952AFD">
        <w:trPr>
          <w:trHeight w:val="300"/>
        </w:trPr>
        <w:tc>
          <w:tcPr>
            <w:tcW w:w="10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дополнительных государственных услуг, предоставляемых в МФЦ </w:t>
            </w:r>
          </w:p>
        </w:tc>
      </w:tr>
      <w:bookmarkEnd w:id="0"/>
      <w:tr w:rsidR="00952AFD" w:rsidRPr="00952AFD" w:rsidTr="00952AFD">
        <w:trPr>
          <w:trHeight w:val="300"/>
        </w:trPr>
        <w:tc>
          <w:tcPr>
            <w:tcW w:w="10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3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31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МФЦ, оказывающие услуги</w:t>
            </w:r>
          </w:p>
        </w:tc>
      </w:tr>
      <w:tr w:rsidR="00952AFD" w:rsidRPr="00952AFD" w:rsidTr="00952AFD">
        <w:trPr>
          <w:trHeight w:val="32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7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Во всех МФЦ</w:t>
            </w:r>
          </w:p>
        </w:tc>
      </w:tr>
      <w:tr w:rsidR="00952AFD" w:rsidRPr="00952AFD" w:rsidTr="00952AFD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123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12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Прием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Pr="00952AFD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Информирование физических лиц о наличии налоговой задолженности по имущественным налогам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79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1" w:name="RANGE!B12"/>
            <w:r w:rsidRPr="00952AFD">
              <w:rPr>
                <w:color w:val="000000"/>
                <w:sz w:val="24"/>
                <w:szCs w:val="24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  <w:bookmarkEnd w:id="1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623"/>
        </w:trPr>
        <w:tc>
          <w:tcPr>
            <w:tcW w:w="56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2" w:name="RANGE!B13"/>
            <w:r w:rsidRPr="00952AFD">
              <w:rPr>
                <w:color w:val="000000"/>
                <w:sz w:val="24"/>
                <w:szCs w:val="24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  <w:bookmarkEnd w:id="2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Приём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3" w:name="RANGE!B15"/>
            <w:r w:rsidRPr="00952AFD">
              <w:rPr>
                <w:color w:val="000000"/>
                <w:sz w:val="24"/>
                <w:szCs w:val="24"/>
                <w:lang w:eastAsia="ru-RU"/>
              </w:rPr>
              <w:t>Приём заявления о выдаче налогового уведомления</w:t>
            </w:r>
            <w:bookmarkEnd w:id="3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4" w:name="RANGE!B16"/>
            <w:r w:rsidRPr="00952AFD">
              <w:rPr>
                <w:color w:val="000000"/>
                <w:sz w:val="24"/>
                <w:szCs w:val="24"/>
                <w:lang w:eastAsia="ru-RU"/>
              </w:rPr>
              <w:t>Прием заявления о гибели или уничтожении объекта налогообложения по налогу на имущество физических лиц</w:t>
            </w:r>
            <w:bookmarkEnd w:id="4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5" w:name="RANGE!B17"/>
            <w:r w:rsidRPr="00952AFD">
              <w:rPr>
                <w:color w:val="000000"/>
                <w:sz w:val="24"/>
                <w:szCs w:val="24"/>
                <w:lang w:eastAsia="ru-RU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  <w:bookmarkEnd w:id="5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6" w:name="RANGE!B18"/>
            <w:r w:rsidRPr="00952AFD">
              <w:rPr>
                <w:color w:val="000000"/>
                <w:sz w:val="24"/>
                <w:szCs w:val="24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bookmarkEnd w:id="6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1260"/>
        </w:trPr>
        <w:tc>
          <w:tcPr>
            <w:tcW w:w="56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7" w:name="RANGE!B19"/>
            <w:r w:rsidRPr="00952AFD">
              <w:rPr>
                <w:color w:val="000000"/>
                <w:sz w:val="24"/>
                <w:szCs w:val="24"/>
                <w:lang w:eastAsia="ru-RU"/>
              </w:rPr>
      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      </w:r>
            <w:bookmarkEnd w:id="7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8" w:name="RANGE!B20"/>
            <w:r w:rsidRPr="00952AFD">
              <w:rPr>
                <w:color w:val="000000"/>
                <w:sz w:val="24"/>
                <w:szCs w:val="24"/>
                <w:lang w:eastAsia="ru-RU"/>
              </w:rPr>
              <w:t>Прием заявления о гибели или уничтожении объекта налогообложения по транспортному налогу</w:t>
            </w:r>
            <w:bookmarkEnd w:id="8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9" w:name="RANGE!B21"/>
            <w:r w:rsidRPr="00952AFD">
              <w:rPr>
                <w:color w:val="000000"/>
                <w:sz w:val="24"/>
                <w:szCs w:val="24"/>
                <w:lang w:eastAsia="ru-RU"/>
              </w:rPr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  <w:bookmarkEnd w:id="9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bookmarkStart w:id="10" w:name="RANGE!B22"/>
            <w:r w:rsidRPr="00952AFD">
              <w:rPr>
                <w:color w:val="000000"/>
                <w:sz w:val="24"/>
                <w:szCs w:val="24"/>
                <w:lang w:eastAsia="ru-RU"/>
              </w:rPr>
              <w:t>Прием заявления о прекращении исчисления транспортного налога в связи с принудительным изъятием транспортного средства</w:t>
            </w:r>
            <w:bookmarkEnd w:id="10"/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2AFD" w:rsidRPr="00952AFD" w:rsidTr="00952AFD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заявлений на получение доступа к сервису ФНС России "Личный кабинет налогоплательщика для физических лиц"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амешково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       (ул. Свердлова, д. 14)</w:t>
            </w:r>
          </w:p>
        </w:tc>
      </w:tr>
      <w:tr w:rsidR="00952AFD" w:rsidRPr="00952AFD" w:rsidTr="00952AFD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запроса о предоставлении справки о  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Филиал ГБУ «МФЦ Владимирской  области» в г. Александров  (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нститутская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д. 3)</w:t>
            </w:r>
          </w:p>
        </w:tc>
      </w:tr>
      <w:tr w:rsidR="00952AFD" w:rsidRPr="00952AFD" w:rsidTr="00952AFD">
        <w:trPr>
          <w:trHeight w:val="94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г. Кольчугино,  (ул. 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, д.38)</w:t>
            </w:r>
          </w:p>
        </w:tc>
      </w:tr>
      <w:tr w:rsidR="00952AFD" w:rsidRPr="00952AFD" w:rsidTr="00952AFD">
        <w:trPr>
          <w:trHeight w:val="6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запроса о предоставлении справки о принадлежности сумм денежных средств, перечисленных в качестве единого налогового платежа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овров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 ( ул.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д.13а)</w:t>
            </w:r>
          </w:p>
        </w:tc>
      </w:tr>
      <w:tr w:rsidR="00952AFD" w:rsidRPr="00952AFD" w:rsidTr="00952AFD">
        <w:trPr>
          <w:trHeight w:val="1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запроса о предоставлении акта 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и формата его представления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адужном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г.Радужный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1 квартал, д.34)</w:t>
            </w:r>
          </w:p>
        </w:tc>
      </w:tr>
      <w:tr w:rsidR="00952AFD" w:rsidRPr="00952AFD" w:rsidTr="00952AFD">
        <w:trPr>
          <w:trHeight w:val="87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Филиал ГБУ «МФЦ Владимирской  области» в  п. Красная Горбатка (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расная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 Горбатка,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д.22)</w:t>
            </w:r>
          </w:p>
        </w:tc>
      </w:tr>
      <w:tr w:rsidR="00952AFD" w:rsidRPr="00952AFD" w:rsidTr="00952AFD">
        <w:trPr>
          <w:trHeight w:val="87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Филиал ГБУ «МФЦ Владимирской  области» в г. Гусь-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Хрустальныом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усь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-Хрустальный,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ул.Владимирская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 д.1)</w:t>
            </w:r>
          </w:p>
        </w:tc>
      </w:tr>
      <w:tr w:rsidR="00952AFD" w:rsidRPr="00952AFD" w:rsidTr="00952AFD">
        <w:trPr>
          <w:trHeight w:val="87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рьев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-Польский         (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г.Юрьев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-Польский,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д.16)</w:t>
            </w:r>
          </w:p>
        </w:tc>
      </w:tr>
      <w:tr w:rsidR="00952AFD" w:rsidRPr="00952AFD" w:rsidTr="00952AFD">
        <w:trPr>
          <w:trHeight w:val="87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ороховце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г.Гороховец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д.4)</w:t>
            </w:r>
          </w:p>
        </w:tc>
      </w:tr>
      <w:tr w:rsidR="00952AFD" w:rsidRPr="00952AFD" w:rsidTr="00952AFD">
        <w:trPr>
          <w:trHeight w:val="87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Филиал ГБУ «МФЦ Владимирской  области» в г. Покрове (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окров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д.98)</w:t>
            </w:r>
          </w:p>
        </w:tc>
      </w:tr>
      <w:tr w:rsidR="00952AFD" w:rsidRPr="00952AFD" w:rsidTr="00952AFD">
        <w:trPr>
          <w:trHeight w:val="87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области» в г. Вязники (г. Вязники,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омсомольская,д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. 3)</w:t>
            </w:r>
          </w:p>
        </w:tc>
      </w:tr>
      <w:tr w:rsidR="00952AFD" w:rsidRPr="00952AFD" w:rsidTr="00952AFD">
        <w:trPr>
          <w:trHeight w:val="87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иржаче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(г.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Киржач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ул. Гагарина, д. 8)</w:t>
            </w:r>
          </w:p>
        </w:tc>
      </w:tr>
      <w:tr w:rsidR="00952AFD" w:rsidRPr="00952AFD" w:rsidTr="00952AFD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заявления на применение патентной системы налогообложения индивидуальным предпринимателем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AFD" w:rsidRPr="00952AFD" w:rsidTr="00952AF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единой (упрощенной) налоговой декларации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AFD" w:rsidRPr="00952AFD" w:rsidTr="00952AFD">
        <w:trPr>
          <w:trHeight w:val="5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налоговой декларации по налогу, уплачиваемому в связи с применением упрощенной системы налогообложения (УСН)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AFD" w:rsidRPr="00952AFD" w:rsidTr="00952AF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налоговой декларации по налогу на прибыль организаций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AFD" w:rsidRPr="00952AFD" w:rsidTr="00952AFD">
        <w:trPr>
          <w:trHeight w:val="63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налоговой декларации по единому сельскохозяйственному налогу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Филиал ГБУ «МФЦ Владимирской  области» в г. Гусь-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Хрустальныом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усь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-Хрустальный,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ул.Владимирская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 д.1)</w:t>
            </w:r>
          </w:p>
        </w:tc>
      </w:tr>
      <w:tr w:rsidR="00952AFD" w:rsidRPr="00952AFD" w:rsidTr="00952AFD">
        <w:trPr>
          <w:trHeight w:val="8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налоговой декларации по водному налогу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рьев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-Польский         (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г.Юрьев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-Польский,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д.16)</w:t>
            </w:r>
          </w:p>
        </w:tc>
      </w:tr>
      <w:tr w:rsidR="00952AFD" w:rsidRPr="00952AFD" w:rsidTr="00952AFD">
        <w:trPr>
          <w:trHeight w:val="6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расчета сумм налога на доходы физических лиц, исчисленных  и удержанных налоговым агентом (форма 6-НДФЛ)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области» в г. Вязники (г. Вязники,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омсомольская,д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. 3)</w:t>
            </w:r>
          </w:p>
        </w:tc>
      </w:tr>
      <w:tr w:rsidR="00952AFD" w:rsidRPr="00952AFD" w:rsidTr="00952AFD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расчета по страховым взносам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Филиал ГБУ «МФЦ Владимирской  области» в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AFD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AFD">
              <w:rPr>
                <w:color w:val="000000"/>
                <w:sz w:val="24"/>
                <w:szCs w:val="24"/>
                <w:lang w:eastAsia="ru-RU"/>
              </w:rPr>
              <w:t>иржаче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 xml:space="preserve"> (г. </w:t>
            </w:r>
            <w:proofErr w:type="spellStart"/>
            <w:r w:rsidRPr="00952AFD">
              <w:rPr>
                <w:color w:val="000000"/>
                <w:sz w:val="24"/>
                <w:szCs w:val="24"/>
                <w:lang w:eastAsia="ru-RU"/>
              </w:rPr>
              <w:t>Киржач</w:t>
            </w:r>
            <w:proofErr w:type="spellEnd"/>
            <w:r w:rsidRPr="00952AFD">
              <w:rPr>
                <w:color w:val="000000"/>
                <w:sz w:val="24"/>
                <w:szCs w:val="24"/>
                <w:lang w:eastAsia="ru-RU"/>
              </w:rPr>
              <w:t>, ул. Гагарина, д. 8)</w:t>
            </w:r>
          </w:p>
        </w:tc>
      </w:tr>
      <w:tr w:rsidR="00952AFD" w:rsidRPr="00952AFD" w:rsidTr="00952AFD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налоговой декларации по налогу на имущество организаций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AFD" w:rsidRPr="00952AFD" w:rsidTr="00952AFD">
        <w:trPr>
          <w:trHeight w:val="170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уведомления об использовании организациями и индивидуальными предпринимателями, за исключением организаций и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AFD" w:rsidRPr="00952AFD" w:rsidTr="00952AFD">
        <w:trPr>
          <w:trHeight w:val="13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уведомления 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AFD" w:rsidRPr="00952AFD" w:rsidTr="00952AF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Прием персонифицированных сведений о  физических лицах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FD" w:rsidRPr="00952AFD" w:rsidRDefault="00952AFD" w:rsidP="00952AF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2A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52AFD" w:rsidRPr="00952AFD" w:rsidRDefault="00952AFD" w:rsidP="00952AFD">
      <w:pPr>
        <w:spacing w:line="224" w:lineRule="exact"/>
        <w:ind w:left="100" w:right="1381"/>
        <w:rPr>
          <w:sz w:val="24"/>
          <w:szCs w:val="24"/>
        </w:rPr>
      </w:pPr>
    </w:p>
    <w:sectPr w:rsidR="00952AFD" w:rsidRPr="00952AFD">
      <w:pgSz w:w="11910" w:h="16840"/>
      <w:pgMar w:top="640" w:right="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83F"/>
    <w:multiLevelType w:val="hybridMultilevel"/>
    <w:tmpl w:val="7EDC25D6"/>
    <w:lvl w:ilvl="0" w:tplc="EF32093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F835F4">
      <w:numFmt w:val="bullet"/>
      <w:lvlText w:val="•"/>
      <w:lvlJc w:val="left"/>
      <w:pPr>
        <w:ind w:left="1124" w:hanging="164"/>
      </w:pPr>
      <w:rPr>
        <w:rFonts w:hint="default"/>
        <w:lang w:val="ru-RU" w:eastAsia="en-US" w:bidi="ar-SA"/>
      </w:rPr>
    </w:lvl>
    <w:lvl w:ilvl="2" w:tplc="1A96420A">
      <w:numFmt w:val="bullet"/>
      <w:lvlText w:val="•"/>
      <w:lvlJc w:val="left"/>
      <w:pPr>
        <w:ind w:left="2129" w:hanging="164"/>
      </w:pPr>
      <w:rPr>
        <w:rFonts w:hint="default"/>
        <w:lang w:val="ru-RU" w:eastAsia="en-US" w:bidi="ar-SA"/>
      </w:rPr>
    </w:lvl>
    <w:lvl w:ilvl="3" w:tplc="00A63F90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 w:tplc="D7DE1B32">
      <w:numFmt w:val="bullet"/>
      <w:lvlText w:val="•"/>
      <w:lvlJc w:val="left"/>
      <w:pPr>
        <w:ind w:left="4138" w:hanging="164"/>
      </w:pPr>
      <w:rPr>
        <w:rFonts w:hint="default"/>
        <w:lang w:val="ru-RU" w:eastAsia="en-US" w:bidi="ar-SA"/>
      </w:rPr>
    </w:lvl>
    <w:lvl w:ilvl="5" w:tplc="9EC6795C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2FE0FE64">
      <w:numFmt w:val="bullet"/>
      <w:lvlText w:val="•"/>
      <w:lvlJc w:val="left"/>
      <w:pPr>
        <w:ind w:left="6147" w:hanging="164"/>
      </w:pPr>
      <w:rPr>
        <w:rFonts w:hint="default"/>
        <w:lang w:val="ru-RU" w:eastAsia="en-US" w:bidi="ar-SA"/>
      </w:rPr>
    </w:lvl>
    <w:lvl w:ilvl="7" w:tplc="F86CDA02">
      <w:numFmt w:val="bullet"/>
      <w:lvlText w:val="•"/>
      <w:lvlJc w:val="left"/>
      <w:pPr>
        <w:ind w:left="7152" w:hanging="164"/>
      </w:pPr>
      <w:rPr>
        <w:rFonts w:hint="default"/>
        <w:lang w:val="ru-RU" w:eastAsia="en-US" w:bidi="ar-SA"/>
      </w:rPr>
    </w:lvl>
    <w:lvl w:ilvl="8" w:tplc="2B84D1BC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B75F5"/>
    <w:rsid w:val="002B75F5"/>
    <w:rsid w:val="00952AFD"/>
    <w:rsid w:val="00A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6" w:lineRule="exact"/>
      <w:ind w:left="115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6" w:lineRule="exact"/>
      <w:ind w:left="115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Krokoz™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avo</dc:creator>
  <cp:lastModifiedBy>MKU 38</cp:lastModifiedBy>
  <cp:revision>2</cp:revision>
  <dcterms:created xsi:type="dcterms:W3CDTF">2023-03-22T12:38:00Z</dcterms:created>
  <dcterms:modified xsi:type="dcterms:W3CDTF">2023-03-22T12:38:00Z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2023-03-21T00:00:00Z</vt:filetime>
  </property>
</Properties>
</file>